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rFonts w:ascii="Arial" w:cs="Arial" w:eastAsia="Arial" w:hAnsi="Arial"/>
          <w:b w:val="1"/>
          <w:bCs w:val="1"/>
          <w:sz w:val="24"/>
          <w:szCs w:val="24"/>
        </w:rPr>
      </w:pPr>
      <w:sdt>
        <w:sdtPr>
          <w:id w:val="479943535"/>
          <w:tag w:val="goog_rdk_0"/>
        </w:sdtPr>
        <w:sdtContent>
          <w:commentRangeStart w:id="0"/>
        </w:sdtContent>
      </w:sdt>
      <w:r w:rsidDel="00000000" w:rsidR="00000000" w:rsidRPr="00000000">
        <w:rPr>
          <w:rFonts w:ascii="Arial" w:cs="Arial" w:eastAsia="Arial" w:hAnsi="Arial"/>
          <w:b w:val="1"/>
          <w:bCs w:val="1"/>
          <w:sz w:val="24"/>
          <w:szCs w:val="24"/>
          <w:rtl w:val="0"/>
        </w:rPr>
        <w:t xml:space="preserve">Construcción de las necesidades: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numPr>
          <w:ilvl w:val="0"/>
          <w:numId w:val="3"/>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SALUD PÚBLICA - PROYECTO DE INVERSIÓN 2324 - 2025</w:t>
      </w:r>
    </w:p>
    <w:p w:rsidR="00000000" w:rsidDel="00000000" w:rsidP="00000000" w:rsidRDefault="00000000" w:rsidRPr="00000000" w14:paraId="00000003">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“ACCIONES PARA EL CUIDADO DE LA SALUD Y EL BIENESTAR DE LAS Y LOS SUMA PACEÑOS”. </w:t>
      </w:r>
    </w:p>
    <w:p w:rsidR="00000000" w:rsidDel="00000000" w:rsidP="00000000" w:rsidRDefault="00000000" w:rsidRPr="00000000" w14:paraId="00000004">
      <w:pPr>
        <w:numPr>
          <w:ilvl w:val="0"/>
          <w:numId w:val="3"/>
        </w:numPr>
        <w:spacing w:after="0" w:after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meta asociada al presente proceso es: </w:t>
      </w:r>
      <w:r w:rsidDel="00000000" w:rsidR="00000000" w:rsidRPr="00000000">
        <w:rPr>
          <w:rFonts w:ascii="Arial" w:cs="Arial" w:eastAsia="Arial" w:hAnsi="Arial"/>
          <w:i w:val="1"/>
          <w:iCs w:val="1"/>
          <w:sz w:val="24"/>
          <w:szCs w:val="24"/>
          <w:rtl w:val="0"/>
        </w:rPr>
        <w:t xml:space="preserve">Vincular 200 personas con discapacidad, cuidadores y cuidadoras en actividades complementarias en salud, mediante la implementación de estrategias que promuevan el bienestar físico, psicológico y social.</w:t>
      </w:r>
    </w:p>
    <w:p w:rsidR="00000000" w:rsidDel="00000000" w:rsidP="00000000" w:rsidRDefault="00000000" w:rsidRPr="00000000" w14:paraId="00000005">
      <w:pPr>
        <w:numPr>
          <w:ilvl w:val="0"/>
          <w:numId w:val="3"/>
        </w:numPr>
        <w:spacing w:after="0" w:afterAutospacing="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el marco del proyecto “Vincular 200 personas con discapacidad, cuidadores y cuidadoras en actividades complementarias en salud”, se hace necesario garantizar el suministro de avituallamiento durante el desarrollo de las sesiones de hidroterapia y el evento de cierre, como un componente fundamental para el bienestar integral de los participantes.</w:t>
      </w:r>
    </w:p>
    <w:p w:rsidR="00000000" w:rsidDel="00000000" w:rsidP="00000000" w:rsidRDefault="00000000" w:rsidRPr="00000000" w14:paraId="00000006">
      <w:pPr>
        <w:numPr>
          <w:ilvl w:val="0"/>
          <w:numId w:val="2"/>
        </w:numPr>
        <w:spacing w:after="0" w:afterAutospacing="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Mediante el presente proceso se desarrollará la planeación, suministro y entrega de avituallamiento, correspondiente a almuerzos tipo 2 y refrigerios 3, en el marco de la ejecución de 9 sesiones de hidroterapia y un evento de cierre tipo festival. Cada una de estas actividades contará con la participación de 50 personas, entre personas con discapacidad y sus cuidadores, para un total de 500 atenciones.</w:t>
      </w:r>
    </w:p>
    <w:p w:rsidR="00000000" w:rsidDel="00000000" w:rsidP="00000000" w:rsidRDefault="00000000" w:rsidRPr="00000000" w14:paraId="00000007">
      <w:pPr>
        <w:numPr>
          <w:ilvl w:val="0"/>
          <w:numId w:val="2"/>
        </w:numPr>
        <w:spacing w:after="0" w:afterAutospacing="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sesiones implican jornadas integrales que contemplan desplazamientos desde la ruralidad de Sumapaz hacia los espacios de intervención en zona urbana, así como tiempos de preparación, desarrollo de la actividad terapéutica y retorno, alcanzando una duración aproximada de  más de 12 a 14 horas por jornada. En este contexto, el suministro de alimentación se constituye en un componente esencial para garantizar la permanencia de los participantes durante toda la actividad, evitando interrupciones y asegurando condiciones adecuadas para el desarrollo de las intervenciones.</w:t>
      </w:r>
    </w:p>
    <w:p w:rsidR="00000000" w:rsidDel="00000000" w:rsidP="00000000" w:rsidRDefault="00000000" w:rsidRPr="00000000" w14:paraId="00000008">
      <w:pPr>
        <w:numPr>
          <w:ilvl w:val="0"/>
          <w:numId w:val="2"/>
        </w:numPr>
        <w:spacing w:after="24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evento de cierre, por su parte, se proyecta como un espacio de integración, reconocimiento y consolidación del proceso, en el cual también se requiere garantizar condiciones de alimentación para los participantes, en coherencia con la duración y características de la jornada. </w:t>
      </w:r>
    </w:p>
    <w:p w:rsidR="00000000" w:rsidDel="00000000" w:rsidP="00000000" w:rsidRDefault="00000000" w:rsidRPr="00000000" w14:paraId="0000000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este contexto, el avituallamiento permite:</w:t>
      </w:r>
    </w:p>
    <w:p w:rsidR="00000000" w:rsidDel="00000000" w:rsidP="00000000" w:rsidRDefault="00000000" w:rsidRPr="00000000" w14:paraId="0000000A">
      <w:pPr>
        <w:numPr>
          <w:ilvl w:val="0"/>
          <w:numId w:val="1"/>
        </w:numPr>
        <w:spacing w:after="0" w:afterAutospacing="0" w:before="24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Garantizar la permanencia continua de los participantes durante toda la jornada.</w:t>
      </w:r>
    </w:p>
    <w:p w:rsidR="00000000" w:rsidDel="00000000" w:rsidP="00000000" w:rsidRDefault="00000000" w:rsidRPr="00000000" w14:paraId="0000000B">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Evitar interrupciones en la ejecución de las actividades terapéuticas.</w:t>
      </w:r>
    </w:p>
    <w:p w:rsidR="00000000" w:rsidDel="00000000" w:rsidP="00000000" w:rsidRDefault="00000000" w:rsidRPr="00000000" w14:paraId="0000000C">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Prevenir riesgos asociados a fatiga, descompensaciones o baja ingesta calórica.</w:t>
      </w:r>
    </w:p>
    <w:p w:rsidR="00000000" w:rsidDel="00000000" w:rsidP="00000000" w:rsidRDefault="00000000" w:rsidRPr="00000000" w14:paraId="0000000D">
      <w:pPr>
        <w:numPr>
          <w:ilvl w:val="0"/>
          <w:numId w:val="1"/>
        </w:numPr>
        <w:spacing w:after="24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Asegurar condiciones dignas de participación para personas con discapacidad y sus cuidadores.</w:t>
      </w:r>
    </w:p>
    <w:p w:rsidR="00000000" w:rsidDel="00000000" w:rsidP="00000000" w:rsidRDefault="00000000" w:rsidRPr="00000000" w14:paraId="0000000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Por lo anterior, el suministro de avituallamiento se configura como un componente técnico indispensable para el desarrollo efectivo de las acciones complementarias en salud.</w:t>
      </w:r>
    </w:p>
    <w:p w:rsidR="00000000" w:rsidDel="00000000" w:rsidP="00000000" w:rsidRDefault="00000000" w:rsidRPr="00000000" w14:paraId="0000000F">
      <w:pPr>
        <w:numPr>
          <w:ilvl w:val="0"/>
          <w:numId w:val="3"/>
        </w:numPr>
        <w:spacing w:after="0" w:afterAutospacing="0" w:before="24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estructuración de las actividades propuestas responde a un proceso de análisis técnico integral que articula los lineamientos del sector salud, la política pública de discapacidad y el enfoque de atención primaria en salud, priorizando la implementación de acciones de rehabilitación integral, promoción del autocuidado, fortalecimiento de capacidades y mejora de la calidad de vida de las personas con discapacidad, sus cuidadores y cuidadoras. Así mismo, se fundamenta en el diagnóstico territorial de la localidad de Sumapaz, el cual evidencia condiciones particulares de ruralidad dispersa, baja densidad poblacional, limitada oferta de servicios complementarios en salud y barreras estructurales de acceso, derivadas de factores como la distancia entre veredas, los altos tiempos y costos de desplazamiento hacia la zona urbana y las dificultades en la movilidad de la población con discapacidad. En este contexto, las actividades planteadas se configuran como una respuesta técnica orientada a reducir brechas de acceso, garantizar la equidad territorial y facilitar la participación efectiva de la población beneficiaria en procesos de atención complementaria en salud, en coherencia con los principios de inclusión, accesibilidad y enfoque diferencial.</w:t>
      </w:r>
    </w:p>
    <w:p w:rsidR="00000000" w:rsidDel="00000000" w:rsidP="00000000" w:rsidRDefault="00000000" w:rsidRPr="00000000" w14:paraId="00000010">
      <w:pPr>
        <w:numPr>
          <w:ilvl w:val="0"/>
          <w:numId w:val="3"/>
        </w:numPr>
        <w:spacing w:after="24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presente proceso contribuye al cumplimiento de la meta del proyecto, la cual establece la vinculación de 200 personas con discapacidad, cuidadores y cuidadoras en actividades complementarias en salud durante el cuatrienio. Para la vigencia actual, se proyecta impactar a 50 personas, correspondientes a 25 personas con discapacidad y 25 cuidadores, quienes participarán en nueve (9) sesiones de hidroterapia y un (1) evento de cierre, en el marco del desarrollo del componente. De manera complementaria, durante la ejecución de las sesiones de hidroterapia se desarrollarán cuatro (4) encuentros orientados al fortalecimiento del autocuidado, el apoyo a cuidadores y la promoción del bienestar integral, lo cual amplía el alcance de la intervención y fortalece el enfoque de atención integral en salud. En este contexto, el suministro de avituallamiento se constituye como un elemento técnico necesario, en la medida en que garantiza condiciones adecuadas de permanencia durante jornadas prolongadas de entre 12 y 14 horas, facilitando la participación continua de la población beneficiaria. Así mismo, contribuye a la prevención de riesgos asociados a la fatiga, la baja ingesta calórica y posibles descompensaciones, particularmente en una población con condiciones diferenciales de salud. En consecuencia, se asegura la ejecución efectiva de las actividades programadas y se aporta al cumplimiento progresivo de la meta establecida para el cuatrienio, bajo criterios de accesibilidad, continuidad y calidad en la prestación del servicio.</w:t>
      </w:r>
    </w:p>
    <w:p w:rsidR="00000000" w:rsidDel="00000000" w:rsidP="00000000" w:rsidRDefault="00000000" w:rsidRPr="00000000" w14:paraId="00000011">
      <w:pPr>
        <w:spacing w:after="240" w:before="240" w:line="36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0"/>
          <w:numId w:val="3"/>
        </w:numPr>
        <w:spacing w:after="0" w:afterAutospacing="0" w:before="24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cuadro de avituallamiento establece los insumos necesarios para garantizar el suministro de alimentación a los participantes durante la ejecución de las actividades programadas. Es importante mencionar que los almuerzos- refrigerios  se requieren en Bogotá Urbana ya que las sesiones proyectadas son en la misma.</w:t>
      </w:r>
    </w:p>
    <w:p w:rsidR="00000000" w:rsidDel="00000000" w:rsidP="00000000" w:rsidRDefault="00000000" w:rsidRPr="00000000" w14:paraId="00000013">
      <w:pPr>
        <w:numPr>
          <w:ilvl w:val="0"/>
          <w:numId w:val="4"/>
        </w:numPr>
        <w:spacing w:after="0" w:afterAutospacing="0" w:before="0" w:beforeAutospacing="0" w:line="360" w:lineRule="auto"/>
        <w:ind w:left="144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Para tal efecto, se contempla la provisión de cuatrocientos setenta y seis (476) almuerzos tipo 2, </w:t>
      </w:r>
    </w:p>
    <w:p w:rsidR="00000000" w:rsidDel="00000000" w:rsidP="00000000" w:rsidRDefault="00000000" w:rsidRPr="00000000" w14:paraId="00000014">
      <w:pPr>
        <w:numPr>
          <w:ilvl w:val="0"/>
          <w:numId w:val="4"/>
        </w:numPr>
        <w:spacing w:after="240" w:before="0" w:beforeAutospacing="0" w:line="360" w:lineRule="auto"/>
        <w:ind w:left="144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(900) refrigerios</w:t>
      </w:r>
    </w:p>
    <w:p w:rsidR="00000000" w:rsidDel="00000000" w:rsidP="00000000" w:rsidRDefault="00000000" w:rsidRPr="00000000" w14:paraId="00000015">
      <w:pPr>
        <w:spacing w:after="240" w:before="240" w:line="36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avituallamiento se configura como un componente técnico esencial que permite garantizar la permanencia de los participantes, prevenir riesgos asociados a la fatiga y la baja ingesta nutricional, y asegurar la continuidad en la ejecución de las actividades, contribuyendo al cumplimiento de los objetivos del proyecto.</w:t>
      </w:r>
    </w:p>
    <w:p w:rsidR="00000000" w:rsidDel="00000000" w:rsidP="00000000" w:rsidRDefault="00000000" w:rsidRPr="00000000" w14:paraId="00000016">
      <w:pPr>
        <w:spacing w:after="240" w:before="240" w:line="360" w:lineRule="auto"/>
        <w:ind w:left="0" w:firstLine="0"/>
        <w:jc w:val="both"/>
        <w:rPr>
          <w:rFonts w:ascii="Arial" w:cs="Arial" w:eastAsia="Arial" w:hAnsi="Arial"/>
          <w:sz w:val="24"/>
          <w:szCs w:val="24"/>
        </w:rPr>
      </w:pPr>
      <w:r w:rsidDel="00000000" w:rsidR="00000000" w:rsidRPr="00000000">
        <w:rPr>
          <w:rtl w:val="0"/>
        </w:rPr>
      </w:r>
    </w:p>
    <w:tbl>
      <w:tblPr>
        <w:tblStyle w:val="Table1"/>
        <w:tblW w:w="6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0"/>
        <w:gridCol w:w="585"/>
        <w:gridCol w:w="3870"/>
        <w:gridCol w:w="1620"/>
        <w:tblGridChange w:id="0">
          <w:tblGrid>
            <w:gridCol w:w="300"/>
            <w:gridCol w:w="585"/>
            <w:gridCol w:w="3870"/>
            <w:gridCol w:w="1620"/>
          </w:tblGrid>
        </w:tblGridChange>
      </w:tblGrid>
      <w:tr>
        <w:trPr>
          <w:cantSplit w:val="0"/>
          <w:trHeight w:val="780"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7">
            <w:pPr>
              <w:widowControl w:val="0"/>
              <w:spacing w:after="0" w:line="276" w:lineRule="auto"/>
              <w:rPr>
                <w:rFonts w:ascii="Arial" w:cs="Arial" w:eastAsia="Arial" w:hAnsi="Arial"/>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8">
            <w:pPr>
              <w:widowControl w:val="0"/>
              <w:spacing w:after="0" w:line="276" w:lineRule="auto"/>
              <w:jc w:val="center"/>
              <w:rPr>
                <w:rFonts w:ascii="Arial" w:cs="Arial" w:eastAsia="Arial" w:hAnsi="Arial"/>
              </w:rPr>
            </w:pPr>
            <w:r w:rsidDel="00000000" w:rsidR="00000000" w:rsidRPr="00000000">
              <w:rPr>
                <w:rFonts w:ascii="Arial" w:cs="Arial" w:eastAsia="Arial" w:hAnsi="Arial"/>
                <w:b w:val="1"/>
                <w:bCs w:val="1"/>
                <w:rtl w:val="0"/>
              </w:rPr>
              <w:t xml:space="preserve">ITEM O PRODUCTO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9">
            <w:pPr>
              <w:widowControl w:val="0"/>
              <w:spacing w:after="0" w:line="276" w:lineRule="auto"/>
              <w:jc w:val="center"/>
              <w:rPr>
                <w:rFonts w:ascii="Arial" w:cs="Arial" w:eastAsia="Arial" w:hAnsi="Arial"/>
              </w:rPr>
            </w:pPr>
            <w:r w:rsidDel="00000000" w:rsidR="00000000" w:rsidRPr="00000000">
              <w:rPr>
                <w:rFonts w:ascii="Arial" w:cs="Arial" w:eastAsia="Arial" w:hAnsi="Arial"/>
                <w:b w:val="1"/>
                <w:bCs w:val="1"/>
                <w:rtl w:val="0"/>
              </w:rPr>
              <w:t xml:space="preserve">DESCRIPICIÓN TÉCNICA (por favor describa a detalle lo que necesita)</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A">
            <w:pPr>
              <w:widowControl w:val="0"/>
              <w:spacing w:after="0" w:line="276" w:lineRule="auto"/>
              <w:jc w:val="center"/>
              <w:rPr>
                <w:rFonts w:ascii="Arial" w:cs="Arial" w:eastAsia="Arial" w:hAnsi="Arial"/>
              </w:rPr>
            </w:pPr>
            <w:r w:rsidDel="00000000" w:rsidR="00000000" w:rsidRPr="00000000">
              <w:rPr>
                <w:rFonts w:ascii="Arial" w:cs="Arial" w:eastAsia="Arial" w:hAnsi="Arial"/>
                <w:b w:val="1"/>
                <w:bCs w:val="1"/>
                <w:rtl w:val="0"/>
              </w:rPr>
              <w:t xml:space="preserve">CANTIDAD</w:t>
            </w:r>
            <w:r w:rsidDel="00000000" w:rsidR="00000000" w:rsidRPr="00000000">
              <w:rPr>
                <w:rtl w:val="0"/>
              </w:rPr>
            </w:r>
          </w:p>
        </w:tc>
      </w:tr>
      <w:tr>
        <w:trPr>
          <w:cantSplit w:val="0"/>
          <w:trHeight w:val="537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B">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C">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Almuerzo tipo 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D">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Suministro de alimentación individual que incluya: una (1) entrada (sopa, crema, consomé o fruta); una (1) proteína de mínimo 150 g (pollo, carne de res, cerdo o pescado); una (1) porción de arroz entre 70 y 90 g; una (1) guarnición de mínimo 100 g (leguminosas o verdura fría/caliente); una (1) ensalada de mínimo 70 g; un (1) postre de mínimo 30 g (fruta, gelatina, flan u otro); una (1) bebida (jugo natural en agua, néctar o gaseosa de 200–250 ml). Debe incluir mínimo 4 opciones de menú (incluida opción vegetariana). Los alimentos deben ser preparados el mismo día, empacados individualmente en recipientes biodegradables con mínimo tres divisiones, sellados herméticamente y transportados bajo condiciones adecuadas de higiene.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E">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476</w:t>
            </w:r>
          </w:p>
        </w:tc>
      </w:tr>
      <w:tr>
        <w:trPr>
          <w:cantSplit w:val="0"/>
          <w:trHeight w:val="20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Refrigerio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Suministro de refrigerio individual compuesto por alimento sólido (ej. sándwich, producto de panadería o equivalente) y bebida (jugo, néctar o lácteo), empacado de manera individual, en condiciones higiénicas, garantizando frescura y consumo inmediato.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2">
            <w:pPr>
              <w:widowControl w:val="0"/>
              <w:spacing w:after="0" w:line="276" w:lineRule="auto"/>
              <w:jc w:val="center"/>
              <w:rPr>
                <w:rFonts w:ascii="Arial" w:cs="Arial" w:eastAsia="Arial" w:hAnsi="Arial"/>
              </w:rPr>
            </w:pPr>
            <w:r w:rsidDel="00000000" w:rsidR="00000000" w:rsidRPr="00000000">
              <w:rPr>
                <w:rFonts w:ascii="Arial" w:cs="Arial" w:eastAsia="Arial" w:hAnsi="Arial"/>
                <w:rtl w:val="0"/>
              </w:rPr>
              <w:t xml:space="preserve">900</w:t>
            </w:r>
          </w:p>
        </w:tc>
      </w:tr>
    </w:tbl>
    <w:p w:rsidR="00000000" w:rsidDel="00000000" w:rsidP="00000000" w:rsidRDefault="00000000" w:rsidRPr="00000000" w14:paraId="00000023">
      <w:pPr>
        <w:spacing w:after="240" w:before="240" w:line="36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Los elementos anteriormente descritos se constituyen como componentes esenciales para la implementación del proceso, en la medida en que permiten garantizar condiciones de accesibilidad, permanencia, bienestar y participación efectiva de la población beneficiaria, contribuyendo al cumplimiento de los objetivos del proyecto de inversión y a la reducción de brechas de acceso en salud en el territorio.</w:t>
      </w:r>
    </w:p>
    <w:p w:rsidR="00000000" w:rsidDel="00000000" w:rsidP="00000000" w:rsidRDefault="00000000" w:rsidRPr="00000000" w14:paraId="00000024">
      <w:pPr>
        <w:spacing w:line="360" w:lineRule="auto"/>
        <w:ind w:left="720" w:firstLine="0"/>
        <w:jc w:val="both"/>
        <w:rPr>
          <w:rFonts w:ascii="Arial" w:cs="Arial" w:eastAsia="Arial" w:hAnsi="Arial"/>
          <w:sz w:val="24"/>
          <w:szCs w:val="24"/>
        </w:rPr>
      </w:pPr>
      <w:r w:rsidDel="00000000" w:rsidR="00000000" w:rsidRPr="00000000">
        <w:rPr>
          <w:rtl w:val="0"/>
        </w:rPr>
      </w:r>
    </w:p>
    <w:sectPr>
      <w:pgSz w:h="15840" w:w="12240" w:orient="portrait"/>
      <w:pgMar w:bottom="1417" w:top="1417" w:left="1701" w:right="1701"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MELISSA JIMENEZ ARISTIZABAL" w:id="0" w:date="2026-04-07T19:57:15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responda las siguientes preguntas para construir la necesidad.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Relacione el número y nombre COMPLETO de su proyecto: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Relacione la o las metas relacionadas del proyecto de inversión a este nuevo proceso de logística.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Describa que se va a desarrollar con este proceso de logística</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Describa como llegamos a esas actividades (reuniones, lineamientos del sector, presupuestos participativos, etc).</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Describa como contribuye al cumplimento de la meta (cifras de cantidad de beneficiarios, u eventos u actividades) que se logre evidenciar el porcentaje de cumplimiento de la meta.</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Describa que elementos necesita para el cumplimiento de la meta (basados en el Excel: necesidades)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vWBfpTiWvqM5rEQLdKgLo0QHbA==">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